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CD" w:rsidRDefault="00D52DCD" w:rsidP="00D52DC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032134" cy="7715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re the unseen297.01x109.73mm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54" cy="77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DCD" w:rsidRDefault="00D52DCD"/>
    <w:p w:rsidR="009B35E4" w:rsidRDefault="00D52DCD" w:rsidP="009B35E4">
      <w:pPr>
        <w:jc w:val="center"/>
        <w:rPr>
          <w:color w:val="548DD4" w:themeColor="text2" w:themeTint="99"/>
          <w:sz w:val="36"/>
          <w:szCs w:val="36"/>
        </w:rPr>
      </w:pPr>
      <w:r w:rsidRPr="00C160B0">
        <w:rPr>
          <w:color w:val="548DD4" w:themeColor="text2" w:themeTint="99"/>
          <w:sz w:val="36"/>
          <w:szCs w:val="36"/>
        </w:rPr>
        <w:t>DWED Training for those in Mental Health Services</w:t>
      </w:r>
    </w:p>
    <w:p w:rsidR="00C160B0" w:rsidRDefault="009B35E4" w:rsidP="009B35E4">
      <w:pPr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Understanding &amp; Treating Eating Disorders &amp; Insulin Omission in Type 1 Diabetes</w:t>
      </w:r>
    </w:p>
    <w:p w:rsidR="00C160B0" w:rsidRPr="00C160B0" w:rsidRDefault="00C160B0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>Presentation Subjects</w:t>
      </w:r>
    </w:p>
    <w:p w:rsidR="00D52DCD" w:rsidRPr="00D52DCD" w:rsidRDefault="00D52DCD">
      <w:r w:rsidRPr="00D52DCD">
        <w:t>Type 1 Diabetes</w:t>
      </w:r>
      <w:r w:rsidR="00C160B0">
        <w:t>:</w:t>
      </w:r>
      <w:r w:rsidRPr="00D52DCD">
        <w:t xml:space="preserve"> the Facts</w:t>
      </w:r>
    </w:p>
    <w:p w:rsidR="00D52DCD" w:rsidRDefault="00D52DCD">
      <w:r>
        <w:t xml:space="preserve">Recap of Anorexia, Bulimia and Binge Eating Disorder </w:t>
      </w:r>
    </w:p>
    <w:p w:rsidR="00D52DCD" w:rsidRDefault="00D52DCD">
      <w:r>
        <w:t>Diabetes Specific Origins of Anorexia, Bulimia and Bing</w:t>
      </w:r>
      <w:r w:rsidR="00EB53AC">
        <w:t>e</w:t>
      </w:r>
      <w:r>
        <w:t xml:space="preserve"> Eating Disorder </w:t>
      </w:r>
    </w:p>
    <w:p w:rsidR="00D52DCD" w:rsidRDefault="00D52DCD">
      <w:r>
        <w:t>Insulin Omission: The Biology (including complications)</w:t>
      </w:r>
      <w:bookmarkStart w:id="0" w:name="_GoBack"/>
      <w:bookmarkEnd w:id="0"/>
    </w:p>
    <w:p w:rsidR="00D52DCD" w:rsidRDefault="00D52DCD">
      <w:r>
        <w:t xml:space="preserve">Insulin Omission:  The DSM V and Issues with the Current Criteria </w:t>
      </w:r>
    </w:p>
    <w:p w:rsidR="00C160B0" w:rsidRDefault="00D52DCD">
      <w:r>
        <w:t>Treating Eating Disorders in Type 1 Diabetes</w:t>
      </w:r>
      <w:r w:rsidR="00C160B0">
        <w:t>:  Problems with the Current Models and Case Studies</w:t>
      </w:r>
    </w:p>
    <w:p w:rsidR="00C160B0" w:rsidRDefault="00C160B0">
      <w:r>
        <w:t>Treating Eating Disorders in Type 1 Diabetes:  Examples of Best Practice and Case Studies</w:t>
      </w:r>
    </w:p>
    <w:p w:rsidR="00B36749" w:rsidRDefault="00B36749">
      <w:pPr>
        <w:rPr>
          <w:color w:val="CC00CC"/>
          <w:sz w:val="36"/>
          <w:szCs w:val="36"/>
        </w:rPr>
      </w:pPr>
    </w:p>
    <w:p w:rsidR="00C160B0" w:rsidRDefault="00B36749">
      <w:pPr>
        <w:rPr>
          <w:color w:val="CC00CC"/>
          <w:sz w:val="36"/>
          <w:szCs w:val="36"/>
        </w:rPr>
      </w:pPr>
      <w:r w:rsidRPr="00B36749">
        <w:rPr>
          <w:color w:val="CC00CC"/>
          <w:sz w:val="36"/>
          <w:szCs w:val="36"/>
        </w:rPr>
        <w:t xml:space="preserve">Learning Outcomes </w:t>
      </w:r>
    </w:p>
    <w:p w:rsidR="00B36749" w:rsidRDefault="00B36749">
      <w:proofErr w:type="gramStart"/>
      <w:r>
        <w:t>Understanding the difficulties and pressures of living with Type 1 Diabetes and the diabetes regimen.</w:t>
      </w:r>
      <w:proofErr w:type="gramEnd"/>
    </w:p>
    <w:p w:rsidR="00B36749" w:rsidRDefault="00B36749">
      <w:r>
        <w:t xml:space="preserve">Understanding the link between Type 1 Diabetes and Eating Disorders </w:t>
      </w:r>
    </w:p>
    <w:p w:rsidR="00F850A0" w:rsidRDefault="00B36749">
      <w:r>
        <w:t xml:space="preserve">Understanding how dangerous insulin omission is and the biological process that occur in order to attain weight loss and that Diabulimia does not </w:t>
      </w:r>
      <w:r w:rsidR="00F850A0">
        <w:t xml:space="preserve">need to be chronic to be physically devastating </w:t>
      </w:r>
    </w:p>
    <w:p w:rsidR="00B36749" w:rsidRDefault="00F850A0">
      <w:r>
        <w:t>Understanding current</w:t>
      </w:r>
      <w:r w:rsidR="00B36749">
        <w:t xml:space="preserve"> </w:t>
      </w:r>
      <w:r>
        <w:t xml:space="preserve">issues in diagnosis and treatment </w:t>
      </w:r>
    </w:p>
    <w:p w:rsidR="00F850A0" w:rsidRDefault="00F850A0">
      <w:r>
        <w:t xml:space="preserve">Appreciating issues surrounding bad practice and its implications for the patient </w:t>
      </w:r>
    </w:p>
    <w:p w:rsidR="00F850A0" w:rsidRDefault="00F850A0">
      <w:r>
        <w:t>Understanding what a good service looks like and where it differs.</w:t>
      </w:r>
    </w:p>
    <w:p w:rsidR="00F850A0" w:rsidRDefault="00F850A0">
      <w:r>
        <w:t xml:space="preserve">Understanding the right questions to ask </w:t>
      </w:r>
    </w:p>
    <w:p w:rsidR="00F850A0" w:rsidRPr="00B36749" w:rsidRDefault="00F850A0"/>
    <w:p w:rsidR="007A415D" w:rsidRDefault="00D52DCD">
      <w:r>
        <w:lastRenderedPageBreak/>
        <w:t xml:space="preserve"> </w:t>
      </w:r>
    </w:p>
    <w:p w:rsidR="007A415D" w:rsidRDefault="007A415D" w:rsidP="007A415D">
      <w:pPr>
        <w:jc w:val="center"/>
      </w:pPr>
      <w:r>
        <w:rPr>
          <w:noProof/>
          <w:lang w:eastAsia="en-GB"/>
        </w:rPr>
        <w:drawing>
          <wp:inline distT="0" distB="0" distL="0" distR="0" wp14:anchorId="3263326A" wp14:editId="2291E932">
            <wp:extent cx="1777797" cy="129458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logo rainbow 95.25x72.81mm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093" cy="129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15D" w:rsidRDefault="007A415D" w:rsidP="007A415D">
      <w:pPr>
        <w:jc w:val="center"/>
      </w:pPr>
    </w:p>
    <w:p w:rsidR="007A415D" w:rsidRDefault="007A415D" w:rsidP="007A415D">
      <w:pPr>
        <w:jc w:val="center"/>
        <w:rPr>
          <w:color w:val="92CDDC" w:themeColor="accent5" w:themeTint="99"/>
          <w:sz w:val="36"/>
          <w:szCs w:val="36"/>
        </w:rPr>
      </w:pPr>
      <w:r w:rsidRPr="007327B6">
        <w:rPr>
          <w:color w:val="92CDDC" w:themeColor="accent5" w:themeTint="99"/>
          <w:sz w:val="36"/>
          <w:szCs w:val="36"/>
        </w:rPr>
        <w:t>Timings</w:t>
      </w:r>
    </w:p>
    <w:p w:rsidR="007A415D" w:rsidRDefault="007A415D" w:rsidP="007A41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 Hour – The Whistle-stop Tour, no breaks and minimal question time. </w:t>
      </w:r>
    </w:p>
    <w:p w:rsidR="007A415D" w:rsidRDefault="007A415D" w:rsidP="007A415D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2 Hours – More Detailed and with 15 minutes question time.</w:t>
      </w:r>
      <w:proofErr w:type="gramEnd"/>
      <w:r>
        <w:rPr>
          <w:sz w:val="40"/>
          <w:szCs w:val="40"/>
        </w:rPr>
        <w:t xml:space="preserve"> </w:t>
      </w:r>
    </w:p>
    <w:p w:rsidR="007A415D" w:rsidRDefault="007A415D" w:rsidP="007A415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 Hours – Detailed Presentation with 15 min break and discussion throughout.  </w:t>
      </w:r>
    </w:p>
    <w:p w:rsidR="007A415D" w:rsidRDefault="007A415D" w:rsidP="007A415D">
      <w:pPr>
        <w:jc w:val="center"/>
        <w:rPr>
          <w:sz w:val="40"/>
          <w:szCs w:val="40"/>
        </w:rPr>
      </w:pPr>
    </w:p>
    <w:p w:rsidR="007A415D" w:rsidRDefault="007A415D" w:rsidP="007A415D">
      <w:pPr>
        <w:rPr>
          <w:sz w:val="40"/>
          <w:szCs w:val="40"/>
        </w:rPr>
      </w:pPr>
      <w:r>
        <w:rPr>
          <w:sz w:val="40"/>
          <w:szCs w:val="40"/>
        </w:rPr>
        <w:t xml:space="preserve">For More Details Please Contact </w:t>
      </w:r>
    </w:p>
    <w:p w:rsidR="007A415D" w:rsidRDefault="007A415D" w:rsidP="007A415D">
      <w:pPr>
        <w:rPr>
          <w:sz w:val="40"/>
          <w:szCs w:val="40"/>
        </w:rPr>
      </w:pPr>
      <w:r>
        <w:rPr>
          <w:sz w:val="40"/>
          <w:szCs w:val="40"/>
        </w:rPr>
        <w:t>Jacqueline Allan (Managing Director)</w:t>
      </w:r>
    </w:p>
    <w:p w:rsidR="007A415D" w:rsidRDefault="007A415D" w:rsidP="007A415D">
      <w:pPr>
        <w:rPr>
          <w:sz w:val="28"/>
          <w:szCs w:val="28"/>
        </w:rPr>
      </w:pPr>
      <w:r>
        <w:rPr>
          <w:sz w:val="28"/>
          <w:szCs w:val="28"/>
        </w:rPr>
        <w:t>10 Hamilton Place</w:t>
      </w:r>
    </w:p>
    <w:p w:rsidR="007A415D" w:rsidRDefault="007A415D" w:rsidP="007A415D">
      <w:pPr>
        <w:rPr>
          <w:sz w:val="28"/>
          <w:szCs w:val="28"/>
        </w:rPr>
      </w:pPr>
      <w:r>
        <w:rPr>
          <w:sz w:val="28"/>
          <w:szCs w:val="28"/>
        </w:rPr>
        <w:t xml:space="preserve">29 Woodside Gardens </w:t>
      </w:r>
    </w:p>
    <w:p w:rsidR="007A415D" w:rsidRDefault="007A415D" w:rsidP="007A415D">
      <w:pPr>
        <w:rPr>
          <w:sz w:val="28"/>
          <w:szCs w:val="28"/>
        </w:rPr>
      </w:pPr>
      <w:r>
        <w:rPr>
          <w:sz w:val="28"/>
          <w:szCs w:val="28"/>
        </w:rPr>
        <w:t xml:space="preserve">London </w:t>
      </w:r>
    </w:p>
    <w:p w:rsidR="007A415D" w:rsidRDefault="007A415D" w:rsidP="007A415D">
      <w:pPr>
        <w:rPr>
          <w:sz w:val="28"/>
          <w:szCs w:val="28"/>
        </w:rPr>
      </w:pPr>
      <w:r>
        <w:rPr>
          <w:sz w:val="28"/>
          <w:szCs w:val="28"/>
        </w:rPr>
        <w:t xml:space="preserve">N17 6UN </w:t>
      </w:r>
    </w:p>
    <w:p w:rsidR="007A415D" w:rsidRDefault="007A415D" w:rsidP="007A415D">
      <w:pPr>
        <w:rPr>
          <w:sz w:val="28"/>
          <w:szCs w:val="28"/>
        </w:rPr>
      </w:pPr>
    </w:p>
    <w:p w:rsidR="007A415D" w:rsidRDefault="007A415D">
      <w:proofErr w:type="gramStart"/>
      <w:r>
        <w:rPr>
          <w:sz w:val="28"/>
          <w:szCs w:val="28"/>
        </w:rPr>
        <w:t>mailto</w:t>
      </w:r>
      <w:proofErr w:type="gramEnd"/>
      <w:r>
        <w:rPr>
          <w:sz w:val="28"/>
          <w:szCs w:val="28"/>
        </w:rPr>
        <w:t xml:space="preserve">: </w:t>
      </w:r>
      <w:hyperlink r:id="rId7" w:history="1">
        <w:r w:rsidRPr="00F849C4">
          <w:rPr>
            <w:rStyle w:val="Hyperlink"/>
            <w:sz w:val="28"/>
            <w:szCs w:val="28"/>
          </w:rPr>
          <w:t>jacq@dwed.org.uk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07869116832</w:t>
      </w:r>
    </w:p>
    <w:sectPr w:rsidR="007A4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CD"/>
    <w:rsid w:val="004A2D92"/>
    <w:rsid w:val="0059322D"/>
    <w:rsid w:val="007A415D"/>
    <w:rsid w:val="009B35E4"/>
    <w:rsid w:val="00B36749"/>
    <w:rsid w:val="00BF2EBA"/>
    <w:rsid w:val="00C160B0"/>
    <w:rsid w:val="00D52DCD"/>
    <w:rsid w:val="00EB53AC"/>
    <w:rsid w:val="00F8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q@dwed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Allen</dc:creator>
  <cp:lastModifiedBy>Jacqueline Allen</cp:lastModifiedBy>
  <cp:revision>2</cp:revision>
  <dcterms:created xsi:type="dcterms:W3CDTF">2014-09-29T13:30:00Z</dcterms:created>
  <dcterms:modified xsi:type="dcterms:W3CDTF">2014-09-29T13:30:00Z</dcterms:modified>
</cp:coreProperties>
</file>